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932C2" w14:textId="262A3FD9" w:rsidR="007105BB" w:rsidRDefault="007105BB" w:rsidP="007105B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100</w:t>
      </w:r>
      <w:r w:rsidR="00EB4A75">
        <w:rPr>
          <w:rFonts w:ascii="Arial" w:hAnsi="Arial" w:cs="Arial"/>
          <w:b/>
          <w:bCs/>
        </w:rPr>
        <w:t>b</w:t>
      </w:r>
      <w:r>
        <w:rPr>
          <w:rFonts w:ascii="Arial" w:hAnsi="Arial" w:cs="Arial"/>
          <w:b/>
          <w:bCs/>
        </w:rPr>
        <w:t>is</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470EB1">
        <w:rPr>
          <w:rFonts w:ascii="Arial" w:hAnsi="Arial" w:cs="Arial"/>
          <w:b/>
          <w:bCs/>
        </w:rPr>
        <w:t>2351</w:t>
      </w:r>
    </w:p>
    <w:p w14:paraId="49C683B7" w14:textId="4D3744EA" w:rsidR="00136C56" w:rsidRPr="00326A1C" w:rsidRDefault="007105BB" w:rsidP="00326A1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w:t>
      </w:r>
      <w:r w:rsidRPr="00435F1E">
        <w:rPr>
          <w:rFonts w:ascii="Arial" w:eastAsia="MS Mincho" w:hAnsi="Arial" w:cs="Arial"/>
          <w:b/>
          <w:bCs/>
          <w:lang w:eastAsia="ja-JP"/>
        </w:rPr>
        <w:t xml:space="preserve"> </w:t>
      </w:r>
      <w:r>
        <w:rPr>
          <w:rFonts w:ascii="Arial" w:eastAsia="MS Mincho" w:hAnsi="Arial" w:cs="Arial"/>
          <w:b/>
          <w:bCs/>
          <w:lang w:eastAsia="ja-JP"/>
        </w:rPr>
        <w:t>2</w:t>
      </w:r>
      <w:r w:rsidR="00EB4A75">
        <w:rPr>
          <w:rFonts w:ascii="Arial" w:eastAsia="MS Mincho" w:hAnsi="Arial" w:cs="Arial"/>
          <w:b/>
          <w:bCs/>
          <w:lang w:eastAsia="ja-JP"/>
        </w:rPr>
        <w:t>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AB1492D" w14:textId="77777777" w:rsidR="00326A1C" w:rsidRDefault="00326A1C" w:rsidP="00311702">
      <w:pPr>
        <w:pStyle w:val="3GPPHeader"/>
      </w:pPr>
    </w:p>
    <w:p w14:paraId="5FB7E722" w14:textId="1EF541E9"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0A10EE">
        <w:t>11</w:t>
      </w:r>
      <w:r w:rsidR="008A4C42" w:rsidRPr="00473609">
        <w:t>.</w:t>
      </w:r>
      <w:r w:rsidR="000A10EE">
        <w:t>4</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08660B9A" w:rsidR="00531215" w:rsidRPr="00473609" w:rsidRDefault="003D3C45" w:rsidP="00311702">
      <w:pPr>
        <w:pStyle w:val="3GPPHeader"/>
      </w:pPr>
      <w:r w:rsidRPr="00473609">
        <w:t>Title:</w:t>
      </w:r>
      <w:r w:rsidR="00E90E49" w:rsidRPr="00473609">
        <w:tab/>
      </w:r>
      <w:r w:rsidR="007105BB">
        <w:t xml:space="preserve">On </w:t>
      </w:r>
      <w:r w:rsidR="000A10EE">
        <w:t>NR UE V2X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D0E9458" w14:textId="66719351" w:rsidR="00F16EFF" w:rsidRDefault="00F16EFF" w:rsidP="00F16EFF">
      <w:pPr>
        <w:jc w:val="both"/>
      </w:pPr>
      <w:r>
        <w:t xml:space="preserve">The Release-16 </w:t>
      </w:r>
      <w:r w:rsidR="000A10EE">
        <w:t xml:space="preserve">RAN1 </w:t>
      </w:r>
      <w:r>
        <w:t xml:space="preserve">NR </w:t>
      </w:r>
      <w:r w:rsidR="000A10EE">
        <w:t>UE features have been discussed over 3GPP RAN1 email reflector for several rounds. The latest version of RAN1 NR UE features, which has incorporated companies’ views, was distributed by email reflector moderator</w:t>
      </w:r>
      <w:r w:rsidR="00937A09">
        <w:t xml:space="preserve"> </w:t>
      </w:r>
      <w:r w:rsidR="00937A09">
        <w:fldChar w:fldCharType="begin"/>
      </w:r>
      <w:r w:rsidR="00937A09">
        <w:instrText xml:space="preserve"> REF _Ref37250178 \r \h </w:instrText>
      </w:r>
      <w:r w:rsidR="00937A09">
        <w:fldChar w:fldCharType="separate"/>
      </w:r>
      <w:r w:rsidR="00937A09">
        <w:t>[1]</w:t>
      </w:r>
      <w:r w:rsidR="00937A09">
        <w:fldChar w:fldCharType="end"/>
      </w:r>
      <w:r w:rsidR="000A10EE">
        <w:t xml:space="preserve">. For the NR V2X feature, there are still some open issues raised by the feature rapporteur.  </w:t>
      </w:r>
    </w:p>
    <w:p w14:paraId="36CB1CED" w14:textId="77777777" w:rsidR="00F16EFF" w:rsidRDefault="00F16EFF" w:rsidP="00F16EFF">
      <w:pPr>
        <w:jc w:val="both"/>
      </w:pPr>
    </w:p>
    <w:p w14:paraId="4C0B3B85" w14:textId="7DADB255" w:rsidR="00F16EFF" w:rsidRPr="006400C7" w:rsidRDefault="00F16EFF" w:rsidP="00F16EFF">
      <w:pPr>
        <w:jc w:val="both"/>
      </w:pPr>
      <w:r>
        <w:t xml:space="preserve">In this contribution, we </w:t>
      </w:r>
      <w:r w:rsidR="000A10EE">
        <w:t>provide our views on some of the open issues related to NR V2X feature.</w:t>
      </w:r>
      <w:r w:rsidR="0048329B">
        <w:t xml:space="preserve"> </w:t>
      </w:r>
    </w:p>
    <w:p w14:paraId="46011A9F" w14:textId="684ECE59" w:rsidR="00885927" w:rsidRDefault="00EA5A5B" w:rsidP="0048329B">
      <w:pPr>
        <w:pStyle w:val="Heading1"/>
      </w:pPr>
      <w:r>
        <w:t>Discussion</w:t>
      </w:r>
      <w:r w:rsidR="002757CB">
        <w:t xml:space="preserve"> </w:t>
      </w:r>
    </w:p>
    <w:p w14:paraId="13997561" w14:textId="47B7C54A" w:rsidR="00EE5872" w:rsidRDefault="00937A09" w:rsidP="00EE5872">
      <w:pPr>
        <w:jc w:val="both"/>
      </w:pPr>
      <w:r>
        <w:t xml:space="preserve">A list of </w:t>
      </w:r>
      <w:proofErr w:type="gramStart"/>
      <w:r>
        <w:t>NR</w:t>
      </w:r>
      <w:proofErr w:type="gramEnd"/>
      <w:r>
        <w:t xml:space="preserve"> UE V2X features is summarized in the latest version of RAN1 NR UE features </w:t>
      </w:r>
      <w:r>
        <w:fldChar w:fldCharType="begin"/>
      </w:r>
      <w:r>
        <w:instrText xml:space="preserve"> REF _Ref37250178 \r \h </w:instrText>
      </w:r>
      <w:r>
        <w:fldChar w:fldCharType="separate"/>
      </w:r>
      <w:r>
        <w:t>[1]</w:t>
      </w:r>
      <w:r>
        <w:fldChar w:fldCharType="end"/>
      </w:r>
      <w:r>
        <w:t>. The V2X feature rapporteur proposed to further discuss a few open questions. One of the open questions is whether to define the feature</w:t>
      </w:r>
      <w:r w:rsidR="00172A84">
        <w:t xml:space="preserve"> group</w:t>
      </w:r>
      <w:r>
        <w:t xml:space="preserve"> 15-10a (256QAM sidelink reception) and make it optional. </w:t>
      </w:r>
    </w:p>
    <w:p w14:paraId="79A7B495" w14:textId="77777777" w:rsidR="00EE5872" w:rsidRDefault="00EE5872" w:rsidP="00EE5872">
      <w:pPr>
        <w:jc w:val="both"/>
      </w:pPr>
    </w:p>
    <w:p w14:paraId="47E7C1EC" w14:textId="00824016" w:rsidR="00EE5872" w:rsidRPr="003C2425" w:rsidRDefault="00EE5872" w:rsidP="00EE5872">
      <w:pPr>
        <w:jc w:val="both"/>
      </w:pPr>
      <w:r w:rsidRPr="003C2425">
        <w:t xml:space="preserve">It was agreed </w:t>
      </w:r>
      <w:r>
        <w:fldChar w:fldCharType="begin"/>
      </w:r>
      <w:r>
        <w:instrText xml:space="preserve"> REF _Ref31108368 \r \h </w:instrText>
      </w:r>
      <w:r>
        <w:fldChar w:fldCharType="separate"/>
      </w:r>
      <w:r w:rsidR="00937A09">
        <w:t>[2]</w:t>
      </w:r>
      <w:r>
        <w:fldChar w:fldCharType="end"/>
      </w:r>
      <w:r w:rsidRPr="003C2425">
        <w:t xml:space="preserve"> to support all three MCS tables for Rel-15 NR </w:t>
      </w:r>
      <w:proofErr w:type="spellStart"/>
      <w:r w:rsidRPr="003C2425">
        <w:t>Uu</w:t>
      </w:r>
      <w:proofErr w:type="spellEnd"/>
      <w:r w:rsidRPr="003C2425">
        <w:t xml:space="preserve"> CP-OFDM for NR V2X sidelink. The support of the low-spectral efficiency 64QAM MCS table</w:t>
      </w:r>
      <w:r>
        <w:t xml:space="preserve"> in sidelink</w:t>
      </w:r>
      <w:r w:rsidRPr="003C2425">
        <w:t xml:space="preserve"> is </w:t>
      </w:r>
      <w:r>
        <w:t xml:space="preserve">an </w:t>
      </w:r>
      <w:r w:rsidRPr="003C2425">
        <w:t>optional</w:t>
      </w:r>
      <w:r>
        <w:t xml:space="preserve"> UE feature</w:t>
      </w:r>
      <w:r w:rsidRPr="003C2425">
        <w:t xml:space="preserve">, as in the </w:t>
      </w:r>
      <w:proofErr w:type="spellStart"/>
      <w:r w:rsidRPr="003C2425">
        <w:t>Uu</w:t>
      </w:r>
      <w:proofErr w:type="spellEnd"/>
      <w:r w:rsidRPr="003C2425">
        <w:t xml:space="preserve"> link. The support of 256QAM from the transmitter perspective is based on UE capability. It is open whether the support of 256QAM from the receiver perspective is mandatory or based on UE capability. </w:t>
      </w:r>
    </w:p>
    <w:p w14:paraId="21076476" w14:textId="77777777" w:rsidR="00EE5872" w:rsidRPr="003C2425" w:rsidRDefault="00EE5872" w:rsidP="00EE5872">
      <w:pPr>
        <w:jc w:val="both"/>
      </w:pPr>
    </w:p>
    <w:p w14:paraId="33A5C1A8" w14:textId="1E77FE87" w:rsidR="00EE5872" w:rsidRPr="003C2425" w:rsidRDefault="00EE5872" w:rsidP="00EE5872">
      <w:pPr>
        <w:jc w:val="both"/>
      </w:pPr>
      <w:r w:rsidRPr="003C2425">
        <w:t xml:space="preserve">In Rel-15 NR </w:t>
      </w:r>
      <w:proofErr w:type="spellStart"/>
      <w:r w:rsidRPr="003C2425">
        <w:t>Uu</w:t>
      </w:r>
      <w:proofErr w:type="spellEnd"/>
      <w:r w:rsidRPr="003C2425">
        <w:t xml:space="preserve"> link</w:t>
      </w:r>
      <w:r>
        <w:t xml:space="preserve"> </w:t>
      </w:r>
      <w:r>
        <w:fldChar w:fldCharType="begin"/>
      </w:r>
      <w:r>
        <w:instrText xml:space="preserve"> REF _Ref34832836 \r \h </w:instrText>
      </w:r>
      <w:r>
        <w:fldChar w:fldCharType="separate"/>
      </w:r>
      <w:r w:rsidR="00937A09">
        <w:t>[3]</w:t>
      </w:r>
      <w:r>
        <w:fldChar w:fldCharType="end"/>
      </w:r>
      <w:r w:rsidRPr="003C2425">
        <w:t>, the</w:t>
      </w:r>
      <w:r>
        <w:t xml:space="preserve"> support of</w:t>
      </w:r>
      <w:r w:rsidRPr="003C2425">
        <w:t xml:space="preserve"> 256QAM is mandatory for PDSCH in </w:t>
      </w:r>
      <w:proofErr w:type="gramStart"/>
      <w:r w:rsidRPr="003C2425">
        <w:t>FR1</w:t>
      </w:r>
      <w:r w:rsidR="00172A84">
        <w:t>,</w:t>
      </w:r>
      <w:r w:rsidRPr="003C2425">
        <w:t xml:space="preserve"> but</w:t>
      </w:r>
      <w:proofErr w:type="gramEnd"/>
      <w:r w:rsidRPr="003C2425">
        <w:t xml:space="preserve"> </w:t>
      </w:r>
      <w:r>
        <w:t xml:space="preserve">is </w:t>
      </w:r>
      <w:r w:rsidRPr="003C2425">
        <w:t xml:space="preserve">optional for PDSCH in FR2. </w:t>
      </w:r>
      <w:r>
        <w:t xml:space="preserve">Since the support of 256QAM is optional for PUSCH, </w:t>
      </w:r>
      <w:r w:rsidRPr="003C2425">
        <w:t xml:space="preserve">the </w:t>
      </w:r>
      <w:r w:rsidR="00172A84">
        <w:t xml:space="preserve">overall </w:t>
      </w:r>
      <w:r w:rsidRPr="003C2425">
        <w:t>support of 256QAM is optional</w:t>
      </w:r>
      <w:r>
        <w:t xml:space="preserve"> in FR2</w:t>
      </w:r>
      <w:r w:rsidRPr="003C2425">
        <w:t xml:space="preserve"> based on UE capability. In our view, it is natural to extend this UE capability to NR V2X sidelink, i.e., the support of 256QAM</w:t>
      </w:r>
      <w:r w:rsidR="00937A09">
        <w:t xml:space="preserve"> sidelink reception</w:t>
      </w:r>
      <w:r w:rsidRPr="003C2425">
        <w:t xml:space="preserve"> in FR2 is optional based on UE capability. </w:t>
      </w:r>
    </w:p>
    <w:p w14:paraId="79032C1C" w14:textId="77777777" w:rsidR="00EE5872" w:rsidRPr="003C2425" w:rsidRDefault="00EE5872" w:rsidP="00EE5872">
      <w:pPr>
        <w:jc w:val="both"/>
      </w:pPr>
    </w:p>
    <w:p w14:paraId="26803D3E" w14:textId="350EFB89" w:rsidR="00EE5872" w:rsidRPr="003C2425" w:rsidRDefault="00EE5872" w:rsidP="00EE5872">
      <w:pPr>
        <w:jc w:val="both"/>
      </w:pPr>
      <w:r w:rsidRPr="003C2425">
        <w:t xml:space="preserve">Since NR V2X sidelink targets a common design for FR1 and FR2, it is preferred to </w:t>
      </w:r>
      <w:r w:rsidR="00172A84">
        <w:t xml:space="preserve">optionally </w:t>
      </w:r>
      <w:r w:rsidRPr="003C2425">
        <w:t xml:space="preserve">support 256QAM </w:t>
      </w:r>
      <w:r w:rsidR="00172A84">
        <w:t>sidelink reception</w:t>
      </w:r>
      <w:r w:rsidRPr="003C2425">
        <w:t xml:space="preserve"> in both FR1 and FR2 based on UE capability. </w:t>
      </w:r>
    </w:p>
    <w:p w14:paraId="2B69D9F0" w14:textId="77777777" w:rsidR="00EE5872" w:rsidRPr="003C2425" w:rsidRDefault="00EE5872" w:rsidP="00EE5872"/>
    <w:p w14:paraId="16DA9D43" w14:textId="22867E7A" w:rsidR="00EE5872" w:rsidRPr="003C2425" w:rsidRDefault="00EE5872" w:rsidP="00EE5872">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Support UE feature</w:t>
      </w:r>
      <w:r w:rsidR="00172A84">
        <w:rPr>
          <w:i/>
        </w:rPr>
        <w:t xml:space="preserve"> group </w:t>
      </w:r>
      <w:r>
        <w:rPr>
          <w:i/>
        </w:rPr>
        <w:t xml:space="preserve">15-10a (256QAM sidelink reception) is based on </w:t>
      </w:r>
      <w:r w:rsidRPr="003C2425">
        <w:rPr>
          <w:i/>
        </w:rPr>
        <w:t>UE capability.</w:t>
      </w:r>
    </w:p>
    <w:p w14:paraId="18DD753D" w14:textId="521E7CA7" w:rsidR="00F0573C" w:rsidRDefault="00F0573C" w:rsidP="00A43EC4">
      <w:pPr>
        <w:jc w:val="both"/>
      </w:pPr>
    </w:p>
    <w:p w14:paraId="76A1065B" w14:textId="0D8F2DB9" w:rsidR="00EA4BA9" w:rsidRDefault="00EA4BA9" w:rsidP="00A43EC4">
      <w:pPr>
        <w:jc w:val="both"/>
      </w:pPr>
      <w:r>
        <w:t>Another open question is</w:t>
      </w:r>
      <w:r w:rsidR="003216C5">
        <w:t xml:space="preserve"> in UE feature groups 15-1, 15-2 and 15-3, </w:t>
      </w:r>
      <w:r>
        <w:t xml:space="preserve">whether to </w:t>
      </w:r>
      <w:r w:rsidR="003216C5">
        <w:t>support</w:t>
      </w:r>
      <w:r>
        <w:t xml:space="preserve"> CP length </w:t>
      </w:r>
      <w:r w:rsidR="003216C5">
        <w:t xml:space="preserve">as UE capability. In Rel-15 NR </w:t>
      </w:r>
      <w:proofErr w:type="spellStart"/>
      <w:r w:rsidR="003216C5">
        <w:t>Uu</w:t>
      </w:r>
      <w:proofErr w:type="spellEnd"/>
      <w:r w:rsidR="003216C5">
        <w:t xml:space="preserve"> link </w:t>
      </w:r>
      <w:r w:rsidR="003216C5">
        <w:fldChar w:fldCharType="begin"/>
      </w:r>
      <w:r w:rsidR="003216C5">
        <w:instrText xml:space="preserve"> REF _Ref37253682 \r \h </w:instrText>
      </w:r>
      <w:r w:rsidR="003216C5">
        <w:fldChar w:fldCharType="separate"/>
      </w:r>
      <w:r w:rsidR="003216C5">
        <w:t>[4]</w:t>
      </w:r>
      <w:r w:rsidR="003216C5">
        <w:fldChar w:fldCharType="end"/>
      </w:r>
      <w:r w:rsidR="003216C5">
        <w:t xml:space="preserve">, the support of extended CP length under 60 kHz SCS for </w:t>
      </w:r>
      <w:r w:rsidR="0065101C">
        <w:t xml:space="preserve">reception of PDCCH and PDSCH and transmission of PUCCH, PUSCH and SRS is optional, depending on UE capability. Similarly, we think the support extended CP length for sidelink should also be optional based on UE capability. </w:t>
      </w:r>
    </w:p>
    <w:p w14:paraId="529FA8E0" w14:textId="1C6BB80B" w:rsidR="00EA4BA9" w:rsidRDefault="00EA4BA9" w:rsidP="00A43EC4">
      <w:pPr>
        <w:jc w:val="both"/>
      </w:pPr>
    </w:p>
    <w:p w14:paraId="3426F064" w14:textId="45F0DA53" w:rsidR="003216C5" w:rsidRPr="003C2425" w:rsidRDefault="003216C5" w:rsidP="003216C5">
      <w:pPr>
        <w:jc w:val="both"/>
        <w:rPr>
          <w:i/>
        </w:rPr>
      </w:pPr>
      <w:r w:rsidRPr="003C2425">
        <w:rPr>
          <w:b/>
          <w:i/>
          <w:u w:val="single"/>
        </w:rPr>
        <w:lastRenderedPageBreak/>
        <w:t xml:space="preserve">Proposal </w:t>
      </w:r>
      <w:r>
        <w:rPr>
          <w:b/>
          <w:i/>
          <w:u w:val="single"/>
        </w:rPr>
        <w:t>2</w:t>
      </w:r>
      <w:r w:rsidRPr="003C2425">
        <w:rPr>
          <w:b/>
          <w:i/>
          <w:u w:val="single"/>
        </w:rPr>
        <w:t>:</w:t>
      </w:r>
      <w:r w:rsidRPr="003C2425">
        <w:rPr>
          <w:i/>
        </w:rPr>
        <w:t xml:space="preserve"> </w:t>
      </w:r>
      <w:r>
        <w:rPr>
          <w:i/>
        </w:rPr>
        <w:t>In UE feature groups 15-1, 15-2 and 15-3, support</w:t>
      </w:r>
      <w:r w:rsidR="0065101C">
        <w:rPr>
          <w:i/>
        </w:rPr>
        <w:t xml:space="preserve"> extended</w:t>
      </w:r>
      <w:r>
        <w:rPr>
          <w:i/>
        </w:rPr>
        <w:t xml:space="preserve"> CP length is based on </w:t>
      </w:r>
      <w:r w:rsidRPr="003C2425">
        <w:rPr>
          <w:i/>
        </w:rPr>
        <w:t>UE capability.</w:t>
      </w:r>
    </w:p>
    <w:p w14:paraId="6B804D6B" w14:textId="311B50D2" w:rsidR="003216C5" w:rsidRDefault="003216C5" w:rsidP="00A43EC4">
      <w:pPr>
        <w:jc w:val="both"/>
      </w:pPr>
    </w:p>
    <w:p w14:paraId="7FF86772" w14:textId="15076F39" w:rsidR="00F038C2" w:rsidRDefault="00F038C2" w:rsidP="00A43EC4">
      <w:pPr>
        <w:jc w:val="both"/>
      </w:pPr>
      <w:r>
        <w:t>Another open question is in UE feature group 15-1, whether to define the</w:t>
      </w:r>
      <w:r w:rsidR="00F470E5">
        <w:t xml:space="preserve"> total</w:t>
      </w:r>
      <w:r>
        <w:t xml:space="preserve"> number of soft channel bits received in a slot as a component. Although the </w:t>
      </w:r>
      <w:r w:rsidR="00F470E5">
        <w:t xml:space="preserve">total </w:t>
      </w:r>
      <w:r>
        <w:t xml:space="preserve">number of soft channel bits received in a slot was defined in LTE downlink based on UE capability </w:t>
      </w:r>
      <w:r>
        <w:fldChar w:fldCharType="begin"/>
      </w:r>
      <w:r>
        <w:instrText xml:space="preserve"> REF _Ref37271707 \r \h </w:instrText>
      </w:r>
      <w:r>
        <w:fldChar w:fldCharType="separate"/>
      </w:r>
      <w:r>
        <w:t>[5]</w:t>
      </w:r>
      <w:r>
        <w:fldChar w:fldCharType="end"/>
      </w:r>
      <w:r>
        <w:t xml:space="preserve">, this component is not defined in NR UE feature for downlink </w:t>
      </w:r>
      <w:r>
        <w:fldChar w:fldCharType="begin"/>
      </w:r>
      <w:r>
        <w:instrText xml:space="preserve"> REF _Ref37253682 \r \h </w:instrText>
      </w:r>
      <w:r>
        <w:fldChar w:fldCharType="separate"/>
      </w:r>
      <w:r>
        <w:t>[4]</w:t>
      </w:r>
      <w:r>
        <w:fldChar w:fldCharType="end"/>
      </w:r>
      <w:r>
        <w:t xml:space="preserve">. Hence, we think this component should not be defined </w:t>
      </w:r>
      <w:r w:rsidR="00041D6A">
        <w:t xml:space="preserve">as a component </w:t>
      </w:r>
      <w:r>
        <w:t xml:space="preserve">in UE feature group 15-1. </w:t>
      </w:r>
    </w:p>
    <w:p w14:paraId="7613FA5D" w14:textId="7778C655" w:rsidR="00F038C2" w:rsidRDefault="00F038C2" w:rsidP="00A43EC4">
      <w:pPr>
        <w:jc w:val="both"/>
      </w:pPr>
    </w:p>
    <w:p w14:paraId="6F5D9127" w14:textId="7135062F" w:rsidR="00F038C2" w:rsidRPr="00F038C2" w:rsidRDefault="00F038C2" w:rsidP="00A43EC4">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In UE feature group 15-1, do not define the component of the</w:t>
      </w:r>
      <w:r w:rsidR="00F470E5">
        <w:rPr>
          <w:i/>
        </w:rPr>
        <w:t xml:space="preserve"> total</w:t>
      </w:r>
      <w:r>
        <w:rPr>
          <w:i/>
        </w:rPr>
        <w:t xml:space="preserve"> number of soft channel bits received by UE in a slot. </w:t>
      </w:r>
    </w:p>
    <w:p w14:paraId="21725419" w14:textId="77777777" w:rsidR="00F038C2" w:rsidRDefault="00F038C2" w:rsidP="00A43EC4">
      <w:pPr>
        <w:jc w:val="both"/>
      </w:pPr>
    </w:p>
    <w:p w14:paraId="521C7CA9" w14:textId="7D179794" w:rsidR="00EE5872" w:rsidRDefault="00172A84" w:rsidP="00A43EC4">
      <w:pPr>
        <w:jc w:val="both"/>
      </w:pPr>
      <w:r>
        <w:t>There are three components in UE feature group 15-5</w:t>
      </w:r>
      <w:r w:rsidR="00F420BE">
        <w:t xml:space="preserve"> (sidelink congestion control)</w:t>
      </w:r>
      <w:r>
        <w:t xml:space="preserve">. The first component is UE can report CBR measurement to </w:t>
      </w:r>
      <w:proofErr w:type="spellStart"/>
      <w:r>
        <w:t>gNB</w:t>
      </w:r>
      <w:proofErr w:type="spellEnd"/>
      <w:r>
        <w:t xml:space="preserve"> and the second component is UE can adjust its radio parameters based on CBR measurement and </w:t>
      </w:r>
      <w:proofErr w:type="spellStart"/>
      <w:r>
        <w:t>CRlimit</w:t>
      </w:r>
      <w:proofErr w:type="spellEnd"/>
      <w:r>
        <w:t xml:space="preserve">. The prerequisite feature groups of UE feature group 15-5 are 15-1 and at least one of 15-2 and 15-3. </w:t>
      </w:r>
    </w:p>
    <w:p w14:paraId="0D1F14E3" w14:textId="7C70EF59" w:rsidR="00F420BE" w:rsidRDefault="00F420BE" w:rsidP="00A43EC4">
      <w:pPr>
        <w:jc w:val="both"/>
      </w:pPr>
    </w:p>
    <w:p w14:paraId="26756F44" w14:textId="0F90B821" w:rsidR="00EE5872" w:rsidRDefault="00F420BE" w:rsidP="00A43EC4">
      <w:pPr>
        <w:jc w:val="both"/>
      </w:pPr>
      <w:r>
        <w:t xml:space="preserve">A mode 2 UE acquires sidelink resources via autonomous sensing and resource selection. It </w:t>
      </w:r>
      <w:r w:rsidR="000B2085">
        <w:t>may</w:t>
      </w:r>
      <w:r>
        <w:t xml:space="preserve"> not</w:t>
      </w:r>
      <w:r w:rsidR="000B2085">
        <w:t xml:space="preserve"> be</w:t>
      </w:r>
      <w:r>
        <w:t xml:space="preserve"> even under the coverage of </w:t>
      </w:r>
      <w:proofErr w:type="spellStart"/>
      <w:r>
        <w:t>gNB</w:t>
      </w:r>
      <w:proofErr w:type="spellEnd"/>
      <w:r>
        <w:t xml:space="preserve">. Hence, we think the first component of this feature group is applicable only to mode 1 UEs. On the other hand, </w:t>
      </w:r>
      <w:r w:rsidR="0056225A">
        <w:t xml:space="preserve">since </w:t>
      </w:r>
      <w:r>
        <w:t xml:space="preserve">the sidelink resources for mode 1 UEs are allocated by </w:t>
      </w:r>
      <w:proofErr w:type="spellStart"/>
      <w:r>
        <w:t>gNB</w:t>
      </w:r>
      <w:proofErr w:type="spellEnd"/>
      <w:r>
        <w:t xml:space="preserve">, the congestion control is also handled by </w:t>
      </w:r>
      <w:proofErr w:type="spellStart"/>
      <w:r>
        <w:t>gNB</w:t>
      </w:r>
      <w:proofErr w:type="spellEnd"/>
      <w:r>
        <w:t xml:space="preserve">. </w:t>
      </w:r>
      <w:r w:rsidR="0056225A">
        <w:t>I</w:t>
      </w:r>
      <w:r>
        <w:t>n the current specification</w:t>
      </w:r>
      <w:r w:rsidR="00F038C2">
        <w:t xml:space="preserve"> </w:t>
      </w:r>
      <w:r w:rsidR="00F038C2">
        <w:fldChar w:fldCharType="begin"/>
      </w:r>
      <w:r w:rsidR="00F038C2">
        <w:instrText xml:space="preserve"> REF _Ref37271786 \r \h </w:instrText>
      </w:r>
      <w:r w:rsidR="00F038C2">
        <w:fldChar w:fldCharType="separate"/>
      </w:r>
      <w:r w:rsidR="00F038C2">
        <w:t>[6]</w:t>
      </w:r>
      <w:r w:rsidR="00F038C2">
        <w:fldChar w:fldCharType="end"/>
      </w:r>
      <w:r>
        <w:t xml:space="preserve">, the sidelink congestion control, including </w:t>
      </w:r>
      <w:r w:rsidR="0056225A">
        <w:t xml:space="preserve">the definition of </w:t>
      </w:r>
      <w:r>
        <w:t xml:space="preserve">congestion control processing time and </w:t>
      </w:r>
      <w:r w:rsidR="0056225A">
        <w:t xml:space="preserve">the application of </w:t>
      </w: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oMath>
      <w:r>
        <w:t>, is o</w:t>
      </w:r>
      <w:proofErr w:type="spellStart"/>
      <w:r>
        <w:t>nly</w:t>
      </w:r>
      <w:proofErr w:type="spellEnd"/>
      <w:r>
        <w:t xml:space="preserve"> de</w:t>
      </w:r>
      <w:r w:rsidR="0056225A">
        <w:t>signed</w:t>
      </w:r>
      <w:r>
        <w:t xml:space="preserve"> </w:t>
      </w:r>
      <w:r w:rsidR="0056225A">
        <w:t>for</w:t>
      </w:r>
      <w:r>
        <w:t xml:space="preserve"> sidelink resource allocation mode 2. </w:t>
      </w:r>
      <w:r w:rsidR="0056225A">
        <w:t>Hence, the second component of this feature group seems to be applicable only to mode 2 UEs.</w:t>
      </w:r>
    </w:p>
    <w:p w14:paraId="7542280A" w14:textId="2D363005" w:rsidR="0056225A" w:rsidRDefault="0056225A" w:rsidP="00A43EC4">
      <w:pPr>
        <w:jc w:val="both"/>
      </w:pPr>
    </w:p>
    <w:p w14:paraId="12DCFFEB" w14:textId="284D8474" w:rsidR="0056225A" w:rsidRDefault="000B2085" w:rsidP="00A43EC4">
      <w:pPr>
        <w:jc w:val="both"/>
      </w:pPr>
      <w:r>
        <w:t>I</w:t>
      </w:r>
      <w:r w:rsidR="0056225A">
        <w:t xml:space="preserve">t is desirable to clarify the application conditions of the first two components of the feature group 15-5. </w:t>
      </w:r>
    </w:p>
    <w:p w14:paraId="56F26C6B" w14:textId="77777777" w:rsidR="0056225A" w:rsidRDefault="0056225A" w:rsidP="00A43EC4">
      <w:pPr>
        <w:jc w:val="both"/>
      </w:pPr>
    </w:p>
    <w:p w14:paraId="762D3140" w14:textId="104BC705" w:rsidR="00955C95" w:rsidRDefault="00955C95" w:rsidP="00955C95">
      <w:pPr>
        <w:jc w:val="both"/>
        <w:rPr>
          <w:i/>
        </w:rPr>
      </w:pPr>
      <w:r w:rsidRPr="001C381A">
        <w:rPr>
          <w:b/>
          <w:i/>
          <w:u w:val="single"/>
        </w:rPr>
        <w:t xml:space="preserve">Proposal </w:t>
      </w:r>
      <w:r w:rsidR="00041D6A">
        <w:rPr>
          <w:b/>
          <w:i/>
          <w:u w:val="single"/>
        </w:rPr>
        <w:t>4</w:t>
      </w:r>
      <w:r w:rsidRPr="001C381A">
        <w:rPr>
          <w:b/>
          <w:i/>
          <w:u w:val="single"/>
        </w:rPr>
        <w:t>:</w:t>
      </w:r>
      <w:r w:rsidRPr="001C381A">
        <w:rPr>
          <w:i/>
        </w:rPr>
        <w:t xml:space="preserve"> </w:t>
      </w:r>
      <w:r w:rsidR="00EE5872">
        <w:rPr>
          <w:i/>
        </w:rPr>
        <w:t>In UE feature</w:t>
      </w:r>
      <w:r w:rsidR="00172A84">
        <w:rPr>
          <w:i/>
        </w:rPr>
        <w:t xml:space="preserve"> group</w:t>
      </w:r>
      <w:r w:rsidR="00EE5872">
        <w:rPr>
          <w:i/>
        </w:rPr>
        <w:t xml:space="preserve"> 15-5 (sidelink congestion control), the first component (UE can report CBR measurement to </w:t>
      </w:r>
      <w:proofErr w:type="spellStart"/>
      <w:r w:rsidR="00EE5872">
        <w:rPr>
          <w:i/>
        </w:rPr>
        <w:t>gNB</w:t>
      </w:r>
      <w:proofErr w:type="spellEnd"/>
      <w:r w:rsidR="00EE5872">
        <w:rPr>
          <w:i/>
        </w:rPr>
        <w:t>) is only for UE supporting</w:t>
      </w:r>
      <w:r w:rsidR="00172A84">
        <w:rPr>
          <w:i/>
        </w:rPr>
        <w:t xml:space="preserve"> feature groups</w:t>
      </w:r>
      <w:r w:rsidR="00EE5872">
        <w:rPr>
          <w:i/>
        </w:rPr>
        <w:t xml:space="preserve"> 15-1 and 15-2; the second component (UE can adjust its radio parameters based on CBR measurement and </w:t>
      </w:r>
      <w:proofErr w:type="spellStart"/>
      <w:r w:rsidR="00EE5872">
        <w:rPr>
          <w:i/>
        </w:rPr>
        <w:t>CRlimit</w:t>
      </w:r>
      <w:proofErr w:type="spellEnd"/>
      <w:r w:rsidR="00EE5872">
        <w:rPr>
          <w:i/>
        </w:rPr>
        <w:t xml:space="preserve">) is only for UE supporting </w:t>
      </w:r>
      <w:r w:rsidR="00172A84">
        <w:rPr>
          <w:i/>
        </w:rPr>
        <w:t xml:space="preserve">feature groups </w:t>
      </w:r>
      <w:r w:rsidR="00EE5872">
        <w:rPr>
          <w:i/>
        </w:rPr>
        <w:t xml:space="preserve">15-1 and 15-3. </w:t>
      </w:r>
    </w:p>
    <w:p w14:paraId="0C25853B" w14:textId="540AC811" w:rsidR="00DB39F8" w:rsidRDefault="00DB39F8" w:rsidP="00955C95">
      <w:pPr>
        <w:jc w:val="both"/>
        <w:rPr>
          <w:i/>
        </w:rPr>
      </w:pPr>
    </w:p>
    <w:p w14:paraId="57DCA8BC" w14:textId="77777777" w:rsidR="00342AD0" w:rsidRPr="00F86DD2" w:rsidRDefault="00DB39F8" w:rsidP="00955C95">
      <w:pPr>
        <w:jc w:val="both"/>
        <w:rPr>
          <w:iCs/>
        </w:rPr>
      </w:pPr>
      <w:r w:rsidRPr="00F86DD2">
        <w:rPr>
          <w:iCs/>
        </w:rPr>
        <w:t xml:space="preserve">The basic feature groups for sidelink </w:t>
      </w:r>
      <w:r w:rsidR="00342AD0" w:rsidRPr="00F86DD2">
        <w:rPr>
          <w:iCs/>
        </w:rPr>
        <w:t xml:space="preserve">include 15-1, 15-2, 15-3, 15-4 and 15-11. This set of feature groups is considered as mandatory if NR V2X feature is supported. We think this is applicable to vehicle UEs. </w:t>
      </w:r>
    </w:p>
    <w:p w14:paraId="4E9AAA10" w14:textId="77777777" w:rsidR="00342AD0" w:rsidRPr="00F86DD2" w:rsidRDefault="00342AD0" w:rsidP="00955C95">
      <w:pPr>
        <w:jc w:val="both"/>
        <w:rPr>
          <w:iCs/>
        </w:rPr>
      </w:pPr>
    </w:p>
    <w:p w14:paraId="13EB6F9C" w14:textId="4629FC11" w:rsidR="00342AD0" w:rsidRPr="00F86DD2" w:rsidRDefault="00342AD0" w:rsidP="00955C95">
      <w:pPr>
        <w:jc w:val="both"/>
        <w:rPr>
          <w:iCs/>
        </w:rPr>
      </w:pPr>
      <w:r w:rsidRPr="00F86DD2">
        <w:rPr>
          <w:iCs/>
        </w:rPr>
        <w:t xml:space="preserve">The P2V use case implies that pedestrian UEs only need to make sidelink transmissions, while not sidelink receptions. Hence, the currently defined basic feature groups do not apply to pedestrian UEs. Hence, we propose that the pedestrian UE capability should be considered in a future release. </w:t>
      </w:r>
    </w:p>
    <w:p w14:paraId="3CAA09D2" w14:textId="699F00B8" w:rsidR="00DB39F8" w:rsidRPr="00F86DD2" w:rsidRDefault="00342AD0" w:rsidP="00955C95">
      <w:pPr>
        <w:jc w:val="both"/>
        <w:rPr>
          <w:iCs/>
        </w:rPr>
      </w:pPr>
      <w:r w:rsidRPr="00F86DD2">
        <w:rPr>
          <w:iCs/>
        </w:rPr>
        <w:t xml:space="preserve"> </w:t>
      </w:r>
      <w:r w:rsidR="00DB39F8" w:rsidRPr="00F86DD2">
        <w:rPr>
          <w:iCs/>
        </w:rPr>
        <w:t xml:space="preserve"> </w:t>
      </w:r>
    </w:p>
    <w:p w14:paraId="1D6CFC93" w14:textId="31D3C44D" w:rsidR="00DB39F8" w:rsidRDefault="00DB39F8" w:rsidP="00955C95">
      <w:pPr>
        <w:jc w:val="both"/>
        <w:rPr>
          <w:i/>
        </w:rPr>
      </w:pPr>
      <w:r w:rsidRPr="00F86DD2">
        <w:rPr>
          <w:b/>
          <w:i/>
          <w:u w:val="single"/>
        </w:rPr>
        <w:t xml:space="preserve">Proposal </w:t>
      </w:r>
      <w:r w:rsidR="00F86DD2">
        <w:rPr>
          <w:b/>
          <w:i/>
          <w:u w:val="single"/>
        </w:rPr>
        <w:t>5</w:t>
      </w:r>
      <w:r w:rsidRPr="00F86DD2">
        <w:rPr>
          <w:b/>
          <w:i/>
          <w:u w:val="single"/>
        </w:rPr>
        <w:t>:</w:t>
      </w:r>
      <w:r w:rsidRPr="00F86DD2">
        <w:rPr>
          <w:i/>
        </w:rPr>
        <w:t xml:space="preserve"> The </w:t>
      </w:r>
      <w:r w:rsidRPr="00F86DD2">
        <w:rPr>
          <w:i/>
        </w:rPr>
        <w:t xml:space="preserve">current basic </w:t>
      </w:r>
      <w:r w:rsidRPr="00F86DD2">
        <w:rPr>
          <w:i/>
        </w:rPr>
        <w:t>feature group</w:t>
      </w:r>
      <w:r w:rsidRPr="00F86DD2">
        <w:rPr>
          <w:i/>
        </w:rPr>
        <w:t xml:space="preserve">s for sidelink are for vehicle UEs. </w:t>
      </w:r>
      <w:r w:rsidR="00342AD0" w:rsidRPr="00F86DD2">
        <w:rPr>
          <w:i/>
        </w:rPr>
        <w:t>The</w:t>
      </w:r>
      <w:r w:rsidRPr="00F86DD2">
        <w:rPr>
          <w:i/>
        </w:rPr>
        <w:t xml:space="preserve"> pedestrian UE capability should be considered in a future release.</w:t>
      </w:r>
    </w:p>
    <w:p w14:paraId="241E981D" w14:textId="77777777" w:rsidR="00F86DD2" w:rsidRDefault="00F86DD2" w:rsidP="00955C95">
      <w:pPr>
        <w:jc w:val="both"/>
        <w:rPr>
          <w:i/>
        </w:rPr>
      </w:pPr>
    </w:p>
    <w:p w14:paraId="02620DF4" w14:textId="57EB1C39" w:rsidR="003F006A" w:rsidRDefault="003F006A" w:rsidP="003F006A">
      <w:pPr>
        <w:pStyle w:val="Heading1"/>
      </w:pPr>
      <w:r>
        <w:t xml:space="preserve">Conclusion </w:t>
      </w:r>
    </w:p>
    <w:p w14:paraId="70E5F0E7" w14:textId="3D58C2EB" w:rsidR="00AE18D0" w:rsidRDefault="00EE5872" w:rsidP="00F16EFF">
      <w:pPr>
        <w:jc w:val="both"/>
        <w:rPr>
          <w:iCs/>
          <w:lang w:val="en-GB"/>
        </w:rPr>
      </w:pPr>
      <w:r>
        <w:rPr>
          <w:iCs/>
          <w:lang w:val="en-GB"/>
        </w:rPr>
        <w:t>We discussed some remaining open issues on NR UE V2X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13A800D" w14:textId="77777777" w:rsidR="00EE5872" w:rsidRDefault="00EE5872" w:rsidP="00F16EFF">
      <w:pPr>
        <w:jc w:val="both"/>
        <w:rPr>
          <w:iCs/>
          <w:lang w:val="en-GB"/>
        </w:rPr>
      </w:pPr>
    </w:p>
    <w:p w14:paraId="57C954FE" w14:textId="77777777" w:rsidR="000B2085" w:rsidRPr="003C2425" w:rsidRDefault="000B2085" w:rsidP="000B2085">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Support UE feature group 15-10a (256QAM sidelink reception) is based on </w:t>
      </w:r>
      <w:r w:rsidRPr="003C2425">
        <w:rPr>
          <w:i/>
        </w:rPr>
        <w:t>UE capability.</w:t>
      </w:r>
    </w:p>
    <w:p w14:paraId="14FCD612" w14:textId="2804CFCE" w:rsidR="003F006A" w:rsidRDefault="003F006A" w:rsidP="00F16EFF">
      <w:pPr>
        <w:jc w:val="both"/>
        <w:rPr>
          <w:iCs/>
        </w:rPr>
      </w:pPr>
    </w:p>
    <w:p w14:paraId="13966459" w14:textId="77777777" w:rsidR="0065101C" w:rsidRPr="003C2425" w:rsidRDefault="0065101C" w:rsidP="0065101C">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UE feature groups 15-1, 15-2 and 15-3, support extended CP length is based on </w:t>
      </w:r>
      <w:r w:rsidRPr="003C2425">
        <w:rPr>
          <w:i/>
        </w:rPr>
        <w:t>UE capability.</w:t>
      </w:r>
    </w:p>
    <w:p w14:paraId="5BA4DC3D" w14:textId="46FDE8A4" w:rsidR="0065101C" w:rsidRDefault="0065101C" w:rsidP="00F16EFF">
      <w:pPr>
        <w:jc w:val="both"/>
        <w:rPr>
          <w:iCs/>
        </w:rPr>
      </w:pPr>
    </w:p>
    <w:p w14:paraId="6B5C3E32" w14:textId="77777777" w:rsidR="00F470E5" w:rsidRPr="00F038C2" w:rsidRDefault="00F470E5" w:rsidP="00F470E5">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UE feature group 15-1, do not define the component of the total number of soft channel bits received by UE in a slot. </w:t>
      </w:r>
    </w:p>
    <w:p w14:paraId="15D2C1B5" w14:textId="77777777" w:rsidR="00041D6A" w:rsidRDefault="00041D6A" w:rsidP="00F16EFF">
      <w:pPr>
        <w:jc w:val="both"/>
        <w:rPr>
          <w:iCs/>
        </w:rPr>
      </w:pPr>
    </w:p>
    <w:p w14:paraId="6A0ABCEC" w14:textId="6EAA65F3" w:rsidR="000B2085" w:rsidRDefault="000B2085" w:rsidP="000B2085">
      <w:pPr>
        <w:jc w:val="both"/>
        <w:rPr>
          <w:i/>
        </w:rPr>
      </w:pPr>
      <w:r w:rsidRPr="001C381A">
        <w:rPr>
          <w:b/>
          <w:i/>
          <w:u w:val="single"/>
        </w:rPr>
        <w:t xml:space="preserve">Proposal </w:t>
      </w:r>
      <w:r w:rsidR="00041D6A">
        <w:rPr>
          <w:b/>
          <w:i/>
          <w:u w:val="single"/>
        </w:rPr>
        <w:t>4</w:t>
      </w:r>
      <w:r w:rsidRPr="001C381A">
        <w:rPr>
          <w:b/>
          <w:i/>
          <w:u w:val="single"/>
        </w:rPr>
        <w:t>:</w:t>
      </w:r>
      <w:r w:rsidRPr="001C381A">
        <w:rPr>
          <w:i/>
        </w:rPr>
        <w:t xml:space="preserve"> </w:t>
      </w:r>
      <w:r>
        <w:rPr>
          <w:i/>
        </w:rPr>
        <w:t xml:space="preserve">In UE feature group 15-5 (sidelink congestion control), the first component (UE can report CBR measurement to </w:t>
      </w:r>
      <w:proofErr w:type="spellStart"/>
      <w:r>
        <w:rPr>
          <w:i/>
        </w:rPr>
        <w:t>gNB</w:t>
      </w:r>
      <w:proofErr w:type="spellEnd"/>
      <w:r>
        <w:rPr>
          <w:i/>
        </w:rPr>
        <w:t xml:space="preserve">) is only for UE supporting feature groups 15-1 and 15-2; the second component (UE can adjust its radio parameters based on CBR measurement and </w:t>
      </w:r>
      <w:proofErr w:type="spellStart"/>
      <w:r>
        <w:rPr>
          <w:i/>
        </w:rPr>
        <w:t>CRlimit</w:t>
      </w:r>
      <w:proofErr w:type="spellEnd"/>
      <w:r>
        <w:rPr>
          <w:i/>
        </w:rPr>
        <w:t xml:space="preserve">) is only for UE supporting feature groups 15-1 and 15-3. </w:t>
      </w:r>
    </w:p>
    <w:p w14:paraId="1F678130" w14:textId="77777777" w:rsidR="005C582E" w:rsidRDefault="005C582E" w:rsidP="005C582E">
      <w:pPr>
        <w:jc w:val="both"/>
        <w:rPr>
          <w:i/>
        </w:rPr>
      </w:pPr>
    </w:p>
    <w:p w14:paraId="07740732" w14:textId="5DFF9A6A" w:rsidR="005C582E" w:rsidRDefault="005C582E" w:rsidP="000B2085">
      <w:pPr>
        <w:jc w:val="both"/>
        <w:rPr>
          <w:i/>
        </w:rPr>
      </w:pPr>
      <w:r w:rsidRPr="00F86DD2">
        <w:rPr>
          <w:b/>
          <w:i/>
          <w:u w:val="single"/>
        </w:rPr>
        <w:t xml:space="preserve">Proposal </w:t>
      </w:r>
      <w:r w:rsidR="00F86DD2">
        <w:rPr>
          <w:b/>
          <w:i/>
          <w:u w:val="single"/>
        </w:rPr>
        <w:t>5</w:t>
      </w:r>
      <w:r w:rsidRPr="00F86DD2">
        <w:rPr>
          <w:b/>
          <w:i/>
          <w:u w:val="single"/>
        </w:rPr>
        <w:t>:</w:t>
      </w:r>
      <w:r w:rsidRPr="00F86DD2">
        <w:rPr>
          <w:i/>
        </w:rPr>
        <w:t xml:space="preserve"> The current basic feature groups for sidelink are for vehicle UEs. The pedestrian UE capability should be considered in a future release.</w:t>
      </w:r>
    </w:p>
    <w:p w14:paraId="25D66C29" w14:textId="77777777" w:rsidR="0004769C" w:rsidRPr="0004769C" w:rsidRDefault="0004769C" w:rsidP="00F16EFF">
      <w:pPr>
        <w:jc w:val="both"/>
        <w:rPr>
          <w:i/>
        </w:rPr>
      </w:pPr>
    </w:p>
    <w:p w14:paraId="2E75F001" w14:textId="77777777" w:rsidR="007E70BB" w:rsidRPr="00A6576F" w:rsidRDefault="005C63AE" w:rsidP="007E70BB">
      <w:pPr>
        <w:pStyle w:val="Heading1"/>
      </w:pPr>
      <w:r w:rsidRPr="00A6576F">
        <w:t>References</w:t>
      </w:r>
    </w:p>
    <w:p w14:paraId="36E3A1F0" w14:textId="229CCA7D" w:rsidR="00071554" w:rsidRDefault="00EE5872" w:rsidP="00EE587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4661652"/>
      <w:bookmarkStart w:id="1" w:name="_Ref37250178"/>
      <w:bookmarkStart w:id="2" w:name="_Ref23885870"/>
      <w:bookmarkStart w:id="3" w:name="_Ref20471832"/>
      <w:bookmarkStart w:id="4" w:name="_Ref20563970"/>
      <w:r>
        <w:t>3GPP email discussion on Rel-16 NR UE feature, [100e-NR-Rel-16-UE Features], Mar. 2020</w:t>
      </w:r>
      <w:bookmarkStart w:id="5" w:name="_Ref23931654"/>
      <w:bookmarkStart w:id="6" w:name="_Ref23954211"/>
      <w:bookmarkStart w:id="7" w:name="_Ref31059484"/>
      <w:bookmarkEnd w:id="0"/>
      <w:r>
        <w:t>.</w:t>
      </w:r>
      <w:bookmarkEnd w:id="1"/>
      <w:r w:rsidR="00326A1C">
        <w:t xml:space="preserve"> </w:t>
      </w:r>
      <w:bookmarkEnd w:id="2"/>
      <w:bookmarkEnd w:id="3"/>
      <w:bookmarkEnd w:id="4"/>
      <w:bookmarkEnd w:id="5"/>
      <w:bookmarkEnd w:id="6"/>
      <w:bookmarkEnd w:id="7"/>
    </w:p>
    <w:p w14:paraId="480FD943" w14:textId="77777777" w:rsidR="00937A09" w:rsidRDefault="00937A09" w:rsidP="00937A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1108368"/>
      <w:r w:rsidRPr="006400C7">
        <w:t>Chairman’s Notes, 3GPP TSG RAN1 WG1 #98</w:t>
      </w:r>
      <w:r>
        <w:t>bis</w:t>
      </w:r>
      <w:r w:rsidRPr="006400C7">
        <w:t xml:space="preserve"> Meeting, </w:t>
      </w:r>
      <w:r>
        <w:t>Chongqing</w:t>
      </w:r>
      <w:r w:rsidRPr="006400C7">
        <w:t xml:space="preserve">, </w:t>
      </w:r>
      <w:r>
        <w:t>China</w:t>
      </w:r>
      <w:r w:rsidRPr="006400C7">
        <w:t xml:space="preserve">, </w:t>
      </w:r>
      <w:r>
        <w:t>Oct</w:t>
      </w:r>
      <w:r w:rsidRPr="006400C7">
        <w:t>. 2019.</w:t>
      </w:r>
      <w:bookmarkEnd w:id="8"/>
      <w:r w:rsidRPr="006400C7">
        <w:t xml:space="preserve"> </w:t>
      </w:r>
    </w:p>
    <w:p w14:paraId="39CBC722" w14:textId="6740CC12" w:rsidR="00937A09" w:rsidRDefault="00937A09" w:rsidP="00937A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4832836"/>
      <w:r>
        <w:t>3GPP TS38.822, NR user equipment (UE) feature list, v15.0.1, Jul. 2019.</w:t>
      </w:r>
      <w:bookmarkEnd w:id="9"/>
      <w:r>
        <w:t xml:space="preserve"> </w:t>
      </w:r>
      <w:bookmarkStart w:id="10" w:name="_Ref20772424"/>
      <w:bookmarkEnd w:id="10"/>
    </w:p>
    <w:p w14:paraId="3BE1C719" w14:textId="571FD4C6" w:rsidR="003216C5" w:rsidRDefault="003216C5" w:rsidP="00937A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37253682"/>
      <w:r>
        <w:t>3GPP TS38.306, NR user equipment (UE) radio access capabilities, v15.8.0, Dec. 2019.</w:t>
      </w:r>
      <w:bookmarkEnd w:id="11"/>
    </w:p>
    <w:p w14:paraId="2A1CFB14" w14:textId="509FF3F3" w:rsidR="00F038C2" w:rsidRDefault="00F038C2" w:rsidP="00F038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37271707"/>
      <w:bookmarkStart w:id="13" w:name="_Ref37252017"/>
      <w:r>
        <w:t>3GPP TS36.306, E-UTRA user equipment (UE) radio access capabilities, v15.7.0, Dec. 2019.</w:t>
      </w:r>
      <w:bookmarkEnd w:id="12"/>
    </w:p>
    <w:p w14:paraId="2239E898" w14:textId="79C77804" w:rsidR="00937A09" w:rsidRPr="00F16EFF" w:rsidRDefault="0056225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37271786"/>
      <w:r>
        <w:t>3GPP TS38.214, NR physical layer procedures for data, v.16.1.0, Apr. 2020.</w:t>
      </w:r>
      <w:bookmarkEnd w:id="13"/>
      <w:bookmarkEnd w:id="14"/>
    </w:p>
    <w:sectPr w:rsidR="00937A09"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184AD" w14:textId="77777777" w:rsidR="00D53DAF" w:rsidRDefault="00D53DAF">
      <w:r>
        <w:separator/>
      </w:r>
    </w:p>
  </w:endnote>
  <w:endnote w:type="continuationSeparator" w:id="0">
    <w:p w14:paraId="7F1B2E3A" w14:textId="77777777" w:rsidR="00D53DAF" w:rsidRDefault="00D53DAF">
      <w:r>
        <w:continuationSeparator/>
      </w:r>
    </w:p>
  </w:endnote>
  <w:endnote w:type="continuationNotice" w:id="1">
    <w:p w14:paraId="59609C0A" w14:textId="77777777" w:rsidR="00D53DAF" w:rsidRDefault="00D53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46DDE" w14:textId="77777777" w:rsidR="00D53DAF" w:rsidRDefault="00D53DAF">
      <w:r>
        <w:separator/>
      </w:r>
    </w:p>
  </w:footnote>
  <w:footnote w:type="continuationSeparator" w:id="0">
    <w:p w14:paraId="5304FB9C" w14:textId="77777777" w:rsidR="00D53DAF" w:rsidRDefault="00D53DAF">
      <w:r>
        <w:continuationSeparator/>
      </w:r>
    </w:p>
  </w:footnote>
  <w:footnote w:type="continuationNotice" w:id="1">
    <w:p w14:paraId="7A540A4B" w14:textId="77777777" w:rsidR="00D53DAF" w:rsidRDefault="00D53D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21"/>
  </w:num>
  <w:num w:numId="10">
    <w:abstractNumId w:val="0"/>
  </w:num>
  <w:num w:numId="11">
    <w:abstractNumId w:val="29"/>
  </w:num>
  <w:num w:numId="12">
    <w:abstractNumId w:val="4"/>
  </w:num>
  <w:num w:numId="13">
    <w:abstractNumId w:val="22"/>
  </w:num>
  <w:num w:numId="14">
    <w:abstractNumId w:val="16"/>
  </w:num>
  <w:num w:numId="15">
    <w:abstractNumId w:val="32"/>
  </w:num>
  <w:num w:numId="16">
    <w:abstractNumId w:val="37"/>
  </w:num>
  <w:num w:numId="17">
    <w:abstractNumId w:val="8"/>
  </w:num>
  <w:num w:numId="18">
    <w:abstractNumId w:val="27"/>
  </w:num>
  <w:num w:numId="19">
    <w:abstractNumId w:val="6"/>
  </w:num>
  <w:num w:numId="20">
    <w:abstractNumId w:val="28"/>
  </w:num>
  <w:num w:numId="21">
    <w:abstractNumId w:val="34"/>
  </w:num>
  <w:num w:numId="22">
    <w:abstractNumId w:val="20"/>
  </w:num>
  <w:num w:numId="23">
    <w:abstractNumId w:val="31"/>
  </w:num>
  <w:num w:numId="24">
    <w:abstractNumId w:val="25"/>
  </w:num>
  <w:num w:numId="25">
    <w:abstractNumId w:val="13"/>
  </w:num>
  <w:num w:numId="26">
    <w:abstractNumId w:val="26"/>
  </w:num>
  <w:num w:numId="27">
    <w:abstractNumId w:val="24"/>
  </w:num>
  <w:num w:numId="28">
    <w:abstractNumId w:val="12"/>
  </w:num>
  <w:num w:numId="29">
    <w:abstractNumId w:val="33"/>
  </w:num>
  <w:num w:numId="30">
    <w:abstractNumId w:val="7"/>
  </w:num>
  <w:num w:numId="31">
    <w:abstractNumId w:val="30"/>
  </w:num>
  <w:num w:numId="32">
    <w:abstractNumId w:val="5"/>
  </w:num>
  <w:num w:numId="33">
    <w:abstractNumId w:val="2"/>
  </w:num>
  <w:num w:numId="34">
    <w:abstractNumId w:val="3"/>
  </w:num>
  <w:num w:numId="35">
    <w:abstractNumId w:val="36"/>
  </w:num>
  <w:num w:numId="36">
    <w:abstractNumId w:val="18"/>
  </w:num>
  <w:num w:numId="37">
    <w:abstractNumId w:val="35"/>
  </w:num>
  <w:num w:numId="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2020-04-11T00:57:00Z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